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1.png" ContentType="image/png"/>
  <Override PartName="/word/media/rId57.png" ContentType="image/png"/>
  <Override PartName="/word/media/rId48.png" ContentType="image/png"/>
  <Override PartName="/word/media/rId53.png" ContentType="image/png"/>
  <Override PartName="/word/media/rId52.png" ContentType="image/png"/>
  <Override PartName="/word/media/rId56.png" ContentType="image/png"/>
  <Override PartName="/word/media/rId50.png" ContentType="image/png"/>
  <Override PartName="/word/media/rId58.png" ContentType="image/png"/>
  <Override PartName="/word/media/rId55.png" ContentType="image/png"/>
  <Override PartName="/word/media/rId54.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May 7 11:14:34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the Stream Classification and Priority Explorer (SCAPE),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considered in poor condition as related to the most commonly observed in-stream stressors, such as excess phosophorus, nitrogen, or altered physical habitat. These proximal and immediate causes of poor biological condition are often linked to landscape-level factors that occur in the watershed. Mechanistic linkages between land use and degraded biological condition are understood in some cases (e.g., ), whereas the precise link between land use and instream condition may not be clear for other causal pathways (e.g., ).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 ().</w:t>
      </w:r>
    </w:p>
    <w:p>
      <w:pPr>
        <w:pStyle w:val="BodyText"/>
      </w:pPr>
      <w:r>
        <w:t xml:space="preserve">In many urban and agricultural areas the majority of stream miles are not healthy and in need of some level of management (cite SWAMP, SMC, NRSA). Restoration or protective measures at these sites commonly focus on direct improvements at the site-level to mitigate stressors that are ulimately linked to sources upstream.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cost-prohibitive, nor may it be 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could depend on developing an expectation of biological potential as a function of land use constraints.</w:t>
      </w:r>
    </w:p>
    <w:p>
      <w:pPr>
        <w:pStyle w:val="BodyText"/>
      </w:pPr>
      <w:r>
        <w:t xml:space="preserve">An approach to comprehensively evaluate the potential for success of alternative management scenarios for streams given landscape constraints could be developed with predictive models. Previous efforts have focused on using geospatial data to predict biological condition at broad spatial scales.</w:t>
      </w:r>
      <w:r>
        <w:t xml:space="preserve"> </w:t>
      </w:r>
      <w:r>
        <w:t xml:space="preserve">Carlisle, Falcone, and Meador (</w:t>
      </w:r>
      <w:hyperlink w:anchor="ref-Carlisle09">
        <w:r>
          <w:rPr>
            <w:rStyle w:val="Hyperlink"/>
          </w:rPr>
          <w:t xml:space="preserve">2009</w:t>
        </w:r>
      </w:hyperlink>
      <w:r>
        <w:t xml:space="preserve">)</w:t>
      </w:r>
    </w:p>
    <w:p>
      <w:pPr>
        <w:pStyle w:val="BodyText"/>
      </w:pPr>
      <w:r>
        <w:t xml:space="preserve">Landscape-level constraints are particularly relevant for macroinvertebrate communities in streams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w:t>
      </w:r>
    </w:p>
    <w:p>
      <w:pPr>
        <w:numPr>
          <w:numId w:val="1001"/>
          <w:ilvl w:val="0"/>
        </w:numPr>
      </w:pPr>
      <w:r>
        <w:t xml:space="preserve">(Carlisle, Falcone, and Meador</w:t>
      </w:r>
      <w:r>
        <w:t xml:space="preserve"> </w:t>
      </w:r>
      <w:hyperlink w:anchor="ref-Carlisle09">
        <w:r>
          <w:rPr>
            <w:rStyle w:val="Hyperlink"/>
          </w:rPr>
          <w:t xml:space="preserve">2009</w:t>
        </w:r>
      </w:hyperlink>
      <w:r>
        <w:t xml:space="preserve">)</w:t>
      </w:r>
      <w:r>
        <w:t xml:space="preserve"> </w:t>
      </w:r>
      <w:r>
        <w:t xml:space="preserve">explored use of geospatial or landscape predictors to estimate biological condition at unsampled locations,</w:t>
      </w:r>
      <w:r>
        <w:t xml:space="preserve"> </w:t>
      </w:r>
      <w:r>
        <w:t xml:space="preserve">(Hill et al.</w:t>
      </w:r>
      <w:r>
        <w:t xml:space="preserve"> </w:t>
      </w:r>
      <w:hyperlink w:anchor="ref-Hill17">
        <w:r>
          <w:rPr>
            <w:rStyle w:val="Hyperlink"/>
          </w:rPr>
          <w:t xml:space="preserve">2017</w:t>
        </w:r>
      </w:hyperlink>
      <w:r>
        <w:t xml:space="preserve">)</w:t>
      </w:r>
      <w:r>
        <w:t xml:space="preserve"> </w:t>
      </w:r>
      <w:r>
        <w:t xml:space="preserve">applied the analysis at a national scale to predict condition. Landscape models are relatively new and could be leveraged further, such as predicting a range of expectations relative to antrhopogenic constraints in the watershed.</w:t>
      </w:r>
    </w:p>
    <w:p>
      <w:pPr>
        <w:numPr>
          <w:numId w:val="1001"/>
          <w:ilvl w:val="0"/>
        </w:numPr>
      </w:pPr>
      <w:r>
        <w:t xml:space="preserve">Once these large spatial scales are understood, sites can be prioritized by local managers to ensure resources are wisely allocated. Predictive tools developed at large spatial scales should ideally be applicable to arbitrarily chosen locations.</w:t>
      </w:r>
    </w:p>
    <w:p>
      <w:pPr>
        <w:pStyle w:val="FirstParagraph"/>
      </w:pPr>
      <w:r>
        <w:t xml:space="preserve">A necessary point is that such models should not be used to discount locations that are beyond management intervention, rather</w:t>
      </w:r>
    </w:p>
    <w:p>
      <w:pPr>
        <w:pStyle w:val="BodyText"/>
      </w:pPr>
      <w:r>
        <w:t xml:space="preserve">The goal of this project is to demonstrate application of a landscape model to classify and prioritize stream monitoring sites using estimated constraints on biological integrity. This works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2"/>
          <w:ilvl w:val="0"/>
        </w:numPr>
      </w:pPr>
      <w:r>
        <w:t xml:space="preserve">Investigate: Additional monitoring or review of supplementary data (e.g., field visits, review aerial imagery);</w:t>
      </w:r>
    </w:p>
    <w:p>
      <w:pPr>
        <w:pStyle w:val="Compact"/>
        <w:numPr>
          <w:numId w:val="1002"/>
          <w:ilvl w:val="0"/>
        </w:numPr>
      </w:pPr>
      <w:r>
        <w:t xml:space="preserve">Protect: Additional scrutiny of proposed development and/or projects;</w:t>
      </w:r>
    </w:p>
    <w:p>
      <w:pPr>
        <w:pStyle w:val="Compact"/>
        <w:numPr>
          <w:numId w:val="1002"/>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nine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 to 95th, 25th to 75th, 45th to 55th)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high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Compact"/>
        <w:numPr>
          <w:numId w:val="1003"/>
          <w:ilvl w:val="0"/>
        </w:numPr>
      </w:pPr>
      <w:r>
        <w:t xml:space="preserve">What is the value of identifying constrained channels?</w:t>
      </w:r>
    </w:p>
    <w:p>
      <w:pPr>
        <w:pStyle w:val="Compact"/>
        <w:numPr>
          <w:numId w:val="1004"/>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4"/>
          <w:ilvl w:val="1"/>
        </w:numPr>
      </w:pPr>
      <w:r>
        <w:t xml:space="preserve">Use of more data to develop context of assessment</w:t>
      </w:r>
    </w:p>
    <w:p>
      <w:pPr>
        <w:pStyle w:val="Compact"/>
        <w:numPr>
          <w:numId w:val="1004"/>
          <w:ilvl w:val="1"/>
        </w:numPr>
      </w:pPr>
      <w:r>
        <w:t xml:space="preserve">Targeted management for desired outcomes</w:t>
      </w:r>
    </w:p>
    <w:p>
      <w:pPr>
        <w:pStyle w:val="Compact"/>
        <w:numPr>
          <w:numId w:val="1004"/>
          <w:ilvl w:val="1"/>
        </w:numPr>
      </w:pPr>
      <w:r>
        <w:t xml:space="preserve">Informing decisions about future monitoring (i.e., prioritize future monitoring locations)</w:t>
      </w:r>
    </w:p>
    <w:p>
      <w:pPr>
        <w:pStyle w:val="Compact"/>
        <w:numPr>
          <w:numId w:val="1004"/>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3"/>
          <w:ilvl w:val="0"/>
        </w:numPr>
      </w:pPr>
      <w:r>
        <w:t xml:space="preserve">What is useful about our approach compared to alternatives?</w:t>
      </w:r>
    </w:p>
    <w:p>
      <w:pPr>
        <w:pStyle w:val="Compact"/>
        <w:numPr>
          <w:numId w:val="1005"/>
          <w:ilvl w:val="1"/>
        </w:numPr>
      </w:pPr>
      <w:r>
        <w:t xml:space="preserve">Field-based methods to identify constrained channels vs. landscape modelling</w:t>
      </w:r>
    </w:p>
    <w:p>
      <w:pPr>
        <w:pStyle w:val="Compact"/>
        <w:numPr>
          <w:numId w:val="1005"/>
          <w:ilvl w:val="1"/>
        </w:numPr>
      </w:pPr>
      <w:r>
        <w:t xml:space="preserve">Related directly to biological condition and regulatory standards</w:t>
      </w:r>
    </w:p>
    <w:p>
      <w:pPr>
        <w:pStyle w:val="Compact"/>
        <w:numPr>
          <w:numId w:val="1005"/>
          <w:ilvl w:val="1"/>
        </w:numPr>
      </w:pPr>
      <w:r>
        <w:t xml:space="preserve">Results are widely corraborated by other landscape studies - land use is big determinant of macroinvert assemblage</w:t>
      </w:r>
    </w:p>
    <w:p>
      <w:pPr>
        <w:pStyle w:val="Compact"/>
        <w:numPr>
          <w:numId w:val="1003"/>
          <w:ilvl w:val="0"/>
        </w:numPr>
      </w:pPr>
      <w:r>
        <w:t xml:space="preserve">What contributed to our success in defining priorities?</w:t>
      </w:r>
    </w:p>
    <w:p>
      <w:pPr>
        <w:pStyle w:val="Compact"/>
        <w:numPr>
          <w:numId w:val="1006"/>
          <w:ilvl w:val="1"/>
        </w:numPr>
      </w:pPr>
      <w:r>
        <w:t xml:space="preserve">Stakeholder involvement guided process, contributed to achieving goals</w:t>
      </w:r>
    </w:p>
    <w:p>
      <w:pPr>
        <w:pStyle w:val="Compact"/>
        <w:numPr>
          <w:numId w:val="1006"/>
          <w:ilvl w:val="1"/>
        </w:numPr>
      </w:pPr>
      <w:r>
        <w:t xml:space="preserve">An interactive/iterative approach was used - we provided tools to facilitate (web apps) and we did not assume priorities</w:t>
      </w:r>
    </w:p>
    <w:p>
      <w:pPr>
        <w:pStyle w:val="Compact"/>
        <w:numPr>
          <w:numId w:val="1003"/>
          <w:ilvl w:val="0"/>
        </w:numPr>
      </w:pPr>
      <w:r>
        <w:t xml:space="preserve">Caveats of our aproach</w:t>
      </w:r>
    </w:p>
    <w:p>
      <w:pPr>
        <w:pStyle w:val="Compact"/>
        <w:numPr>
          <w:numId w:val="1007"/>
          <w:ilvl w:val="1"/>
        </w:numPr>
      </w:pPr>
      <w:r>
        <w:t xml:space="preserve">This analysis doesn’t truly tell us if a site can be fixed or if the conditions are truly constrained (key message, need to mention in intro)</w:t>
      </w:r>
    </w:p>
    <w:p>
      <w:pPr>
        <w:pStyle w:val="Compact"/>
        <w:numPr>
          <w:numId w:val="1007"/>
          <w:ilvl w:val="1"/>
        </w:numPr>
      </w:pPr>
      <w:r>
        <w:t xml:space="preserve">What do priorities really mean? Depends on your interests, needs, values, etc.</w:t>
      </w:r>
    </w:p>
    <w:p>
      <w:pPr>
        <w:pStyle w:val="Compact"/>
        <w:numPr>
          <w:numId w:val="1007"/>
          <w:ilvl w:val="1"/>
        </w:numPr>
      </w:pPr>
      <w:r>
        <w:t xml:space="preserve">Constrained may not always mean constrained - CSCI vs other biological indicators</w:t>
      </w:r>
    </w:p>
    <w:p>
      <w:pPr>
        <w:pStyle w:val="Compact"/>
        <w:numPr>
          <w:numId w:val="1007"/>
          <w:ilvl w:val="1"/>
        </w:numPr>
      </w:pPr>
      <w:r>
        <w:t xml:space="preserve">Site-specific approaches are warranted in certain cases</w:t>
      </w:r>
    </w:p>
    <w:p>
      <w:pPr>
        <w:pStyle w:val="Compact"/>
        <w:numPr>
          <w:numId w:val="1007"/>
          <w:ilvl w:val="1"/>
        </w:numPr>
      </w:pPr>
      <w:r>
        <w:t xml:space="preserve">Changing certainty or CSCI treshold - mechanistic effects and implications. Don’t cook the books.</w:t>
      </w:r>
    </w:p>
    <w:p>
      <w:pPr>
        <w:pStyle w:val="Compact"/>
        <w:numPr>
          <w:numId w:val="1003"/>
          <w:ilvl w:val="0"/>
        </w:numPr>
      </w:pPr>
      <w:r>
        <w:t xml:space="preserve">Future work</w:t>
      </w:r>
    </w:p>
    <w:p>
      <w:pPr>
        <w:pStyle w:val="Compact"/>
        <w:numPr>
          <w:numId w:val="1008"/>
          <w:ilvl w:val="1"/>
        </w:numPr>
      </w:pPr>
      <w:r>
        <w:t xml:space="preserve">Ability to link with other assessment tools besides CSCI</w:t>
      </w:r>
    </w:p>
    <w:p>
      <w:pPr>
        <w:pStyle w:val="Compact"/>
        <w:numPr>
          <w:numId w:val="1008"/>
          <w:ilvl w:val="1"/>
        </w:numPr>
      </w:pPr>
      <w:r>
        <w:t xml:space="preserve">Link with engineered channels study</w:t>
      </w:r>
    </w:p>
    <w:p>
      <w:pPr>
        <w:pStyle w:val="Compact"/>
        <w:numPr>
          <w:numId w:val="1008"/>
          <w:ilvl w:val="1"/>
        </w:numPr>
      </w:pPr>
      <w:r>
        <w:t xml:space="preserve">Priorities statewide</w:t>
      </w:r>
    </w:p>
    <w:p>
      <w:pPr>
        <w:pStyle w:val="Compact"/>
        <w:numPr>
          <w:numId w:val="1008"/>
          <w:ilvl w:val="1"/>
        </w:numPr>
      </w:pPr>
      <w:r>
        <w:t xml:space="preserve">Application to larger regions possible (national-scale), or how it can be applied in other areas</w:t>
      </w:r>
    </w:p>
    <w:p>
      <w:pPr>
        <w:pStyle w:val="Heading1"/>
      </w:pPr>
      <w:bookmarkStart w:id="45" w:name="supplement"/>
      <w:r>
        <w:t xml:space="preserve">Supplement</w:t>
      </w:r>
      <w:bookmarkEnd w:id="45"/>
    </w:p>
    <w:p>
      <w:pPr>
        <w:pStyle w:val="FirstParagraph"/>
      </w:pPr>
      <w:r>
        <w:t xml:space="preserve">The SCAPE model application website:</w:t>
      </w:r>
      <w:r>
        <w:t xml:space="preserve"> </w:t>
      </w:r>
      <w:hyperlink r:id="rId46">
        <w:r>
          <w:rPr>
            <w:rStyle w:val="Hyperlink"/>
          </w:rPr>
          <w:t xml:space="preserve">http://shiny.sccwrp.org/scape/</w:t>
        </w:r>
      </w:hyperlink>
    </w:p>
    <w:p>
      <w:pPr>
        <w:pStyle w:val="Heading1"/>
      </w:pPr>
      <w:bookmarkStart w:id="47" w:name="figures"/>
      <w:r>
        <w:t xml:space="preserve">Figures</w:t>
      </w:r>
      <w:bookmarkEnd w:id="47"/>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4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1"/>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4"/>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5"/>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6"/>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943600" cy="5094514"/>
            <wp:effectExtent b="0" l="0" r="0" t="0"/>
            <wp:docPr descr="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8"/>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w:t>
      </w:r>
    </w:p>
    <w:p>
      <w:pPr>
        <w:pStyle w:val="Heading1"/>
      </w:pPr>
      <w:bookmarkStart w:id="59" w:name="tables"/>
      <w:r>
        <w:t xml:space="preserve">Tables</w:t>
      </w:r>
      <w:bookmarkEnd w:id="59"/>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0" w:name="references"/>
      <w:r>
        <w:t xml:space="preserve">References</w:t>
      </w:r>
      <w:bookmarkEnd w:id="60"/>
    </w:p>
    <w:bookmarkStart w:id="98" w:name="refs"/>
    <w:bookmarkStart w:id="61"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61"/>
    <w:bookmarkStart w:id="6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2"/>
    <w:bookmarkStart w:id="64"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3">
        <w:r>
          <w:rPr>
            <w:rStyle w:val="Hyperlink"/>
          </w:rPr>
          <w:t xml:space="preserve">https://doi.org/10.1007/s10661-008-0256-z</w:t>
        </w:r>
      </w:hyperlink>
      <w:r>
        <w:t xml:space="preserve">.</w:t>
      </w:r>
    </w:p>
    <w:bookmarkEnd w:id="64"/>
    <w:bookmarkStart w:id="66"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65">
        <w:r>
          <w:rPr>
            <w:rStyle w:val="Hyperlink"/>
          </w:rPr>
          <w:t xml:space="preserve">https://doi.org/10.1016/j.ecolind.2013.07.006</w:t>
        </w:r>
      </w:hyperlink>
      <w:r>
        <w:t xml:space="preserve">.</w:t>
      </w:r>
    </w:p>
    <w:bookmarkEnd w:id="66"/>
    <w:bookmarkStart w:id="67"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67"/>
    <w:bookmarkStart w:id="69"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68">
        <w:r>
          <w:rPr>
            <w:rStyle w:val="Hyperlink"/>
          </w:rPr>
          <w:t xml:space="preserve">https://doi.org/10.1002/eap.1617</w:t>
        </w:r>
      </w:hyperlink>
      <w:r>
        <w:t xml:space="preserve">.</w:t>
      </w:r>
    </w:p>
    <w:bookmarkEnd w:id="69"/>
    <w:bookmarkStart w:id="71"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70">
        <w:r>
          <w:rPr>
            <w:rStyle w:val="Hyperlink"/>
          </w:rPr>
          <w:t xml:space="preserve">https://doi.org/10.1111/1752-1688.12372</w:t>
        </w:r>
      </w:hyperlink>
      <w:r>
        <w:t xml:space="preserve">.</w:t>
      </w:r>
    </w:p>
    <w:bookmarkEnd w:id="71"/>
    <w:bookmarkStart w:id="73"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72">
        <w:r>
          <w:rPr>
            <w:rStyle w:val="Hyperlink"/>
          </w:rPr>
          <w:t xml:space="preserve">https://doi.org/10.1371/journal.pone.0130710</w:t>
        </w:r>
      </w:hyperlink>
      <w:r>
        <w:t xml:space="preserve">.</w:t>
      </w:r>
    </w:p>
    <w:bookmarkEnd w:id="73"/>
    <w:bookmarkStart w:id="74" w:name="ref-Howard09"/>
    <w:p>
      <w:pPr>
        <w:pStyle w:val="Bibliography"/>
      </w:pPr>
      <w:r>
        <w:t xml:space="preserve">Howard, J., and C. Revenga. 2000. “California’s Freshwater Biodiveristy in a Continental Context. Science for Conservation Technical Brief Series.” San Francisco, CA: The Nature Conservancy of California.</w:t>
      </w:r>
    </w:p>
    <w:bookmarkEnd w:id="74"/>
    <w:bookmarkStart w:id="76"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75">
        <w:r>
          <w:rPr>
            <w:rStyle w:val="Hyperlink"/>
          </w:rPr>
          <w:t xml:space="preserve">https://doi.org/10.1111/j.1752-1688.2011.00635.x</w:t>
        </w:r>
      </w:hyperlink>
      <w:r>
        <w:t xml:space="preserve">.</w:t>
      </w:r>
    </w:p>
    <w:bookmarkEnd w:id="76"/>
    <w:bookmarkStart w:id="78"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77">
        <w:r>
          <w:rPr>
            <w:rStyle w:val="Hyperlink"/>
          </w:rPr>
          <w:t xml:space="preserve">https://doi.org/10.1016/j.scitotenv.2015.07.083</w:t>
        </w:r>
      </w:hyperlink>
      <w:r>
        <w:t xml:space="preserve">.</w:t>
      </w:r>
    </w:p>
    <w:bookmarkEnd w:id="78"/>
    <w:bookmarkStart w:id="79"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79"/>
    <w:bookmarkStart w:id="80"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80"/>
    <w:bookmarkStart w:id="81"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81"/>
    <w:bookmarkStart w:id="83"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82">
        <w:r>
          <w:rPr>
            <w:rStyle w:val="Hyperlink"/>
          </w:rPr>
          <w:t xml:space="preserve">https://CRAN.R-project.org/package=quantregForest</w:t>
        </w:r>
      </w:hyperlink>
      <w:r>
        <w:t xml:space="preserve">.</w:t>
      </w:r>
    </w:p>
    <w:bookmarkEnd w:id="83"/>
    <w:bookmarkStart w:id="85"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84">
        <w:r>
          <w:rPr>
            <w:rStyle w:val="Hyperlink"/>
          </w:rPr>
          <w:t xml:space="preserve">https://doi.org/10.1016/j.watres.2004.09.002</w:t>
        </w:r>
      </w:hyperlink>
      <w:r>
        <w:t xml:space="preserve">.</w:t>
      </w:r>
    </w:p>
    <w:bookmarkEnd w:id="85"/>
    <w:bookmarkStart w:id="86"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86"/>
    <w:bookmarkStart w:id="87"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87"/>
    <w:bookmarkStart w:id="88"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88"/>
    <w:bookmarkStart w:id="90"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89">
        <w:r>
          <w:rPr>
            <w:rStyle w:val="Hyperlink"/>
          </w:rPr>
          <w:t xml:space="preserve">https://doi.org/10.1111/gec3.12039</w:t>
        </w:r>
      </w:hyperlink>
      <w:r>
        <w:t xml:space="preserve">.</w:t>
      </w:r>
    </w:p>
    <w:bookmarkEnd w:id="90"/>
    <w:bookmarkStart w:id="92"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91">
        <w:r>
          <w:rPr>
            <w:rStyle w:val="Hyperlink"/>
          </w:rPr>
          <w:t xml:space="preserve">https://doi.org/10.1007/s10661-010-1385-8</w:t>
        </w:r>
      </w:hyperlink>
      <w:r>
        <w:t xml:space="preserve">.</w:t>
      </w:r>
    </w:p>
    <w:bookmarkEnd w:id="92"/>
    <w:bookmarkStart w:id="94"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93">
        <w:r>
          <w:rPr>
            <w:rStyle w:val="Hyperlink"/>
          </w:rPr>
          <w:t xml:space="preserve">https://doi.org/10.1046/j.1365-2427.2001.00758.x</w:t>
        </w:r>
      </w:hyperlink>
      <w:r>
        <w:t xml:space="preserve">.</w:t>
      </w:r>
    </w:p>
    <w:bookmarkEnd w:id="94"/>
    <w:bookmarkStart w:id="96"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95">
        <w:r>
          <w:rPr>
            <w:rStyle w:val="Hyperlink"/>
          </w:rPr>
          <w:t xml:space="preserve">https://doi.org/10.1111/j.1365-2664.2008.01548.x</w:t>
        </w:r>
      </w:hyperlink>
      <w:r>
        <w:t xml:space="preserve">.</w:t>
      </w:r>
    </w:p>
    <w:bookmarkEnd w:id="96"/>
    <w:bookmarkStart w:id="97" w:name="ref-USGS14"/>
    <w:p>
      <w:pPr>
        <w:pStyle w:val="Bibliography"/>
      </w:pPr>
      <w:r>
        <w:t xml:space="preserve">USGS (US Geological Survey). 2014. “National Hydrography Dataset available on the World Wide Web.”</w:t>
      </w:r>
    </w:p>
    <w:bookmarkEnd w:id="97"/>
    <w:bookmarkEnd w:id="9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hyperlink" Id="rId46" Target="http://shiny.sccwrp.org/scape/" TargetMode="External" /><Relationship Type="http://schemas.openxmlformats.org/officeDocument/2006/relationships/hyperlink" Id="rId82" Target="https://CRAN.R-project.org/package=quantregForest" TargetMode="External" /><Relationship Type="http://schemas.openxmlformats.org/officeDocument/2006/relationships/hyperlink" Id="rId68" Target="https://doi.org/10.1002/eap.1617" TargetMode="External" /><Relationship Type="http://schemas.openxmlformats.org/officeDocument/2006/relationships/hyperlink" Id="rId63" Target="https://doi.org/10.1007/s10661-008-0256-z" TargetMode="External" /><Relationship Type="http://schemas.openxmlformats.org/officeDocument/2006/relationships/hyperlink" Id="rId91" Target="https://doi.org/10.1007/s10661-010-1385-8" TargetMode="External" /><Relationship Type="http://schemas.openxmlformats.org/officeDocument/2006/relationships/hyperlink" Id="rId65" Target="https://doi.org/10.1016/j.ecolind.2013.07.006" TargetMode="External" /><Relationship Type="http://schemas.openxmlformats.org/officeDocument/2006/relationships/hyperlink" Id="rId77" Target="https://doi.org/10.1016/j.scitotenv.2015.07.083" TargetMode="External" /><Relationship Type="http://schemas.openxmlformats.org/officeDocument/2006/relationships/hyperlink" Id="rId84" Target="https://doi.org/10.1016/j.watres.2004.09.002" TargetMode="External" /><Relationship Type="http://schemas.openxmlformats.org/officeDocument/2006/relationships/hyperlink" Id="rId93" Target="https://doi.org/10.1046/j.1365-2427.2001.00758.x" TargetMode="External" /><Relationship Type="http://schemas.openxmlformats.org/officeDocument/2006/relationships/hyperlink" Id="rId70" Target="https://doi.org/10.1111/1752-1688.12372" TargetMode="External" /><Relationship Type="http://schemas.openxmlformats.org/officeDocument/2006/relationships/hyperlink" Id="rId89" Target="https://doi.org/10.1111/gec3.12039" TargetMode="External" /><Relationship Type="http://schemas.openxmlformats.org/officeDocument/2006/relationships/hyperlink" Id="rId95" Target="https://doi.org/10.1111/j.1365-2664.2008.01548.x" TargetMode="External" /><Relationship Type="http://schemas.openxmlformats.org/officeDocument/2006/relationships/hyperlink" Id="rId75" Target="https://doi.org/10.1111/j.1752-1688.2011.00635.x" TargetMode="External" /><Relationship Type="http://schemas.openxmlformats.org/officeDocument/2006/relationships/hyperlink" Id="rId72"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6" Target="http://shiny.sccwrp.org/scape/" TargetMode="External" /><Relationship Type="http://schemas.openxmlformats.org/officeDocument/2006/relationships/hyperlink" Id="rId82" Target="https://CRAN.R-project.org/package=quantregForest" TargetMode="External" /><Relationship Type="http://schemas.openxmlformats.org/officeDocument/2006/relationships/hyperlink" Id="rId68" Target="https://doi.org/10.1002/eap.1617" TargetMode="External" /><Relationship Type="http://schemas.openxmlformats.org/officeDocument/2006/relationships/hyperlink" Id="rId63" Target="https://doi.org/10.1007/s10661-008-0256-z" TargetMode="External" /><Relationship Type="http://schemas.openxmlformats.org/officeDocument/2006/relationships/hyperlink" Id="rId91" Target="https://doi.org/10.1007/s10661-010-1385-8" TargetMode="External" /><Relationship Type="http://schemas.openxmlformats.org/officeDocument/2006/relationships/hyperlink" Id="rId65" Target="https://doi.org/10.1016/j.ecolind.2013.07.006" TargetMode="External" /><Relationship Type="http://schemas.openxmlformats.org/officeDocument/2006/relationships/hyperlink" Id="rId77" Target="https://doi.org/10.1016/j.scitotenv.2015.07.083" TargetMode="External" /><Relationship Type="http://schemas.openxmlformats.org/officeDocument/2006/relationships/hyperlink" Id="rId84" Target="https://doi.org/10.1016/j.watres.2004.09.002" TargetMode="External" /><Relationship Type="http://schemas.openxmlformats.org/officeDocument/2006/relationships/hyperlink" Id="rId93" Target="https://doi.org/10.1046/j.1365-2427.2001.00758.x" TargetMode="External" /><Relationship Type="http://schemas.openxmlformats.org/officeDocument/2006/relationships/hyperlink" Id="rId70" Target="https://doi.org/10.1111/1752-1688.12372" TargetMode="External" /><Relationship Type="http://schemas.openxmlformats.org/officeDocument/2006/relationships/hyperlink" Id="rId89" Target="https://doi.org/10.1111/gec3.12039" TargetMode="External" /><Relationship Type="http://schemas.openxmlformats.org/officeDocument/2006/relationships/hyperlink" Id="rId95" Target="https://doi.org/10.1111/j.1365-2664.2008.01548.x" TargetMode="External" /><Relationship Type="http://schemas.openxmlformats.org/officeDocument/2006/relationships/hyperlink" Id="rId75" Target="https://doi.org/10.1111/j.1752-1688.2011.00635.x" TargetMode="External" /><Relationship Type="http://schemas.openxmlformats.org/officeDocument/2006/relationships/hyperlink" Id="rId72"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2018-05-07T23:23:33Z</dcterms:created>
  <dcterms:modified xsi:type="dcterms:W3CDTF">2018-05-07T23:23:33Z</dcterms:modified>
</cp:coreProperties>
</file>